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Small business backup and recovery plan</w:t>
      </w:r>
    </w:p>
    <w:p>
      <w:r>
        <w:t>Use this worksheet to decide what you need back, how much work you can afford to lose and who will recover it. Start with essential data. Duplicate pages 2–4 for each system or data set. The last page is a fictional example, not a recommended configuration.</w:t>
      </w:r>
    </w:p>
    <w:p>
      <w:r>
        <w:rPr>
          <w:b/>
        </w:rPr>
        <w:t>Business and plan owner</w:t>
      </w:r>
    </w:p>
    <w:p>
      <w:r>
        <w:t>________________________________________________________________________________</w:t>
      </w:r>
    </w:p>
    <w:p>
      <w:r>
        <w:rPr>
          <w:b/>
        </w:rPr>
        <w:t>Version date and next plan review</w:t>
      </w:r>
    </w:p>
    <w:p>
      <w:r>
        <w:t>________________________________________________________________________________</w:t>
      </w:r>
    </w:p>
    <w:p>
      <w:r>
        <w:rPr>
          <w:b/>
        </w:rPr>
        <w:t>Secure plan location and outage accessible copy</w:t>
      </w:r>
    </w:p>
    <w:p>
      <w:r>
        <w:t>________________________________________________________________________________</w:t>
      </w:r>
    </w:p>
    <w:p>
      <w:pPr>
        <w:pStyle w:val="Heading1"/>
      </w:pPr>
      <w:r>
        <w:t>1  Identify the work that depends on data</w:t>
      </w:r>
    </w:p>
    <w:p>
      <w:r>
        <w:t>Include cloud accounts, invoices, appointments, customer records, email, project files and local devices. Name the person who can confirm the data is usable. Use priority 1 for the first service to restore.</w:t>
      </w:r>
    </w:p>
    <w:tbl>
      <w:tblPr>
        <w:tblW w:type="auto" w:w="0"/>
        <w:tblLayout w:type="fixed"/>
        <w:tblLook w:firstColumn="1" w:firstRow="1" w:lastColumn="0" w:lastRow="0" w:noHBand="0" w:noVBand="1" w:val="04A0"/>
      </w:tblPr>
      <w:tblGrid>
        <w:gridCol w:w="5184"/>
        <w:gridCol w:w="3024"/>
        <w:gridCol w:w="2016"/>
      </w:tblGrid>
      <w:tr>
        <w:tc>
          <w:tcPr>
            <w:tcW w:type="dxa" w:w="3408"/>
            <w:tcBorders>
              <w:top w:val="single" w:sz="4" w:color="D9D9D9"/>
              <w:left w:val="single" w:sz="4" w:color="D9D9D9"/>
              <w:bottom w:val="single" w:sz="4" w:color="D9D9D9"/>
              <w:right w:val="single" w:sz="4" w:color="D9D9D9"/>
            </w:tcBorders>
            <w:shd w:fill="E9EFF3"/>
          </w:tcPr>
          <w:p>
            <w:pPr>
              <w:spacing w:after="120" w:before="120"/>
            </w:pPr>
            <w:r>
              <w:rPr>
                <w:b/>
                <w:sz w:val="20"/>
              </w:rPr>
              <w:t>Data or system and location</w:t>
            </w:r>
          </w:p>
        </w:tc>
        <w:tc>
          <w:tcPr>
            <w:tcW w:type="dxa" w:w="3408"/>
            <w:tcBorders>
              <w:top w:val="single" w:sz="4" w:color="D9D9D9"/>
              <w:left w:val="single" w:sz="4" w:color="D9D9D9"/>
              <w:bottom w:val="single" w:sz="4" w:color="D9D9D9"/>
              <w:right w:val="single" w:sz="4" w:color="D9D9D9"/>
            </w:tcBorders>
            <w:shd w:fill="E9EFF3"/>
          </w:tcPr>
          <w:p>
            <w:pPr>
              <w:spacing w:after="120" w:before="120"/>
            </w:pPr>
            <w:r>
              <w:rPr>
                <w:b/>
                <w:sz w:val="20"/>
              </w:rPr>
              <w:t>Business owner</w:t>
            </w:r>
          </w:p>
        </w:tc>
        <w:tc>
          <w:tcPr>
            <w:tcW w:type="dxa" w:w="3408"/>
            <w:tcBorders>
              <w:top w:val="single" w:sz="4" w:color="D9D9D9"/>
              <w:left w:val="single" w:sz="4" w:color="D9D9D9"/>
              <w:bottom w:val="single" w:sz="4" w:color="D9D9D9"/>
              <w:right w:val="single" w:sz="4" w:color="D9D9D9"/>
            </w:tcBorders>
            <w:shd w:fill="E9EFF3"/>
          </w:tcPr>
          <w:p>
            <w:pPr>
              <w:spacing w:after="120" w:before="120"/>
            </w:pPr>
            <w:r>
              <w:rPr>
                <w:b/>
                <w:sz w:val="20"/>
              </w:rPr>
              <w:t>Restore priority</w:t>
            </w:r>
          </w:p>
        </w:tc>
      </w:tr>
      <w:tr>
        <w:tc>
          <w:tcPr>
            <w:tcW w:type="dxa" w:w="5184"/>
            <w:tcBorders>
              <w:top w:val="single" w:sz="4" w:color="D9D9D9"/>
              <w:left w:val="single" w:sz="4" w:color="D9D9D9"/>
              <w:bottom w:val="single" w:sz="4" w:color="D9D9D9"/>
              <w:right w:val="single" w:sz="4" w:color="D9D9D9"/>
            </w:tcBorders>
          </w:tcPr>
          <w:p>
            <w:pPr>
              <w:spacing w:after="120" w:before="120"/>
            </w:pPr>
            <w:r>
              <w:rPr>
                <w:b w:val="0"/>
                <w:sz w:val="20"/>
              </w:rPr>
              <w:br/>
            </w:r>
          </w:p>
        </w:tc>
        <w:tc>
          <w:tcPr>
            <w:tcW w:type="dxa" w:w="3024"/>
            <w:tcBorders>
              <w:top w:val="single" w:sz="4" w:color="D9D9D9"/>
              <w:left w:val="single" w:sz="4" w:color="D9D9D9"/>
              <w:bottom w:val="single" w:sz="4" w:color="D9D9D9"/>
              <w:right w:val="single" w:sz="4" w:color="D9D9D9"/>
            </w:tcBorders>
          </w:tcPr>
          <w:p>
            <w:pPr>
              <w:spacing w:after="120" w:before="120"/>
            </w:pPr>
            <w:r>
              <w:rPr>
                <w:b w:val="0"/>
                <w:sz w:val="20"/>
              </w:rPr>
            </w:r>
          </w:p>
        </w:tc>
        <w:tc>
          <w:tcPr>
            <w:tcW w:type="dxa" w:w="2016"/>
            <w:tcBorders>
              <w:top w:val="single" w:sz="4" w:color="D9D9D9"/>
              <w:left w:val="single" w:sz="4" w:color="D9D9D9"/>
              <w:bottom w:val="single" w:sz="4" w:color="D9D9D9"/>
              <w:right w:val="single" w:sz="4" w:color="D9D9D9"/>
            </w:tcBorders>
          </w:tcPr>
          <w:p>
            <w:pPr>
              <w:spacing w:after="120" w:before="120"/>
            </w:pPr>
            <w:r>
              <w:rPr>
                <w:b w:val="0"/>
                <w:sz w:val="20"/>
              </w:rPr>
            </w:r>
          </w:p>
        </w:tc>
      </w:tr>
      <w:tr>
        <w:tc>
          <w:tcPr>
            <w:tcW w:type="dxa" w:w="5184"/>
            <w:tcBorders>
              <w:top w:val="single" w:sz="4" w:color="D9D9D9"/>
              <w:left w:val="single" w:sz="4" w:color="D9D9D9"/>
              <w:bottom w:val="single" w:sz="4" w:color="D9D9D9"/>
              <w:right w:val="single" w:sz="4" w:color="D9D9D9"/>
            </w:tcBorders>
          </w:tcPr>
          <w:p>
            <w:pPr>
              <w:spacing w:after="120" w:before="120"/>
            </w:pPr>
            <w:r>
              <w:rPr>
                <w:b w:val="0"/>
                <w:sz w:val="20"/>
              </w:rPr>
              <w:br/>
            </w:r>
          </w:p>
        </w:tc>
        <w:tc>
          <w:tcPr>
            <w:tcW w:type="dxa" w:w="3024"/>
            <w:tcBorders>
              <w:top w:val="single" w:sz="4" w:color="D9D9D9"/>
              <w:left w:val="single" w:sz="4" w:color="D9D9D9"/>
              <w:bottom w:val="single" w:sz="4" w:color="D9D9D9"/>
              <w:right w:val="single" w:sz="4" w:color="D9D9D9"/>
            </w:tcBorders>
          </w:tcPr>
          <w:p>
            <w:pPr>
              <w:spacing w:after="120" w:before="120"/>
            </w:pPr>
            <w:r>
              <w:rPr>
                <w:b w:val="0"/>
                <w:sz w:val="20"/>
              </w:rPr>
            </w:r>
          </w:p>
        </w:tc>
        <w:tc>
          <w:tcPr>
            <w:tcW w:type="dxa" w:w="2016"/>
            <w:tcBorders>
              <w:top w:val="single" w:sz="4" w:color="D9D9D9"/>
              <w:left w:val="single" w:sz="4" w:color="D9D9D9"/>
              <w:bottom w:val="single" w:sz="4" w:color="D9D9D9"/>
              <w:right w:val="single" w:sz="4" w:color="D9D9D9"/>
            </w:tcBorders>
          </w:tcPr>
          <w:p>
            <w:pPr>
              <w:spacing w:after="120" w:before="120"/>
            </w:pPr>
            <w:r>
              <w:rPr>
                <w:b w:val="0"/>
                <w:sz w:val="20"/>
              </w:rPr>
            </w:r>
          </w:p>
        </w:tc>
      </w:tr>
      <w:tr>
        <w:tc>
          <w:tcPr>
            <w:tcW w:type="dxa" w:w="5184"/>
            <w:tcBorders>
              <w:top w:val="single" w:sz="4" w:color="D9D9D9"/>
              <w:left w:val="single" w:sz="4" w:color="D9D9D9"/>
              <w:bottom w:val="single" w:sz="4" w:color="D9D9D9"/>
              <w:right w:val="single" w:sz="4" w:color="D9D9D9"/>
            </w:tcBorders>
          </w:tcPr>
          <w:p>
            <w:pPr>
              <w:spacing w:after="120" w:before="120"/>
            </w:pPr>
            <w:r>
              <w:rPr>
                <w:b w:val="0"/>
                <w:sz w:val="20"/>
              </w:rPr>
              <w:br/>
            </w:r>
          </w:p>
        </w:tc>
        <w:tc>
          <w:tcPr>
            <w:tcW w:type="dxa" w:w="3024"/>
            <w:tcBorders>
              <w:top w:val="single" w:sz="4" w:color="D9D9D9"/>
              <w:left w:val="single" w:sz="4" w:color="D9D9D9"/>
              <w:bottom w:val="single" w:sz="4" w:color="D9D9D9"/>
              <w:right w:val="single" w:sz="4" w:color="D9D9D9"/>
            </w:tcBorders>
          </w:tcPr>
          <w:p>
            <w:pPr>
              <w:spacing w:after="120" w:before="120"/>
            </w:pPr>
            <w:r>
              <w:rPr>
                <w:b w:val="0"/>
                <w:sz w:val="20"/>
              </w:rPr>
            </w:r>
          </w:p>
        </w:tc>
        <w:tc>
          <w:tcPr>
            <w:tcW w:type="dxa" w:w="2016"/>
            <w:tcBorders>
              <w:top w:val="single" w:sz="4" w:color="D9D9D9"/>
              <w:left w:val="single" w:sz="4" w:color="D9D9D9"/>
              <w:bottom w:val="single" w:sz="4" w:color="D9D9D9"/>
              <w:right w:val="single" w:sz="4" w:color="D9D9D9"/>
            </w:tcBorders>
          </w:tcPr>
          <w:p>
            <w:pPr>
              <w:spacing w:after="120" w:before="120"/>
            </w:pPr>
            <w:r>
              <w:rPr>
                <w:b w:val="0"/>
                <w:sz w:val="20"/>
              </w:rPr>
            </w:r>
          </w:p>
        </w:tc>
      </w:tr>
      <w:tr>
        <w:tc>
          <w:tcPr>
            <w:tcW w:type="dxa" w:w="5184"/>
            <w:tcBorders>
              <w:top w:val="single" w:sz="4" w:color="D9D9D9"/>
              <w:left w:val="single" w:sz="4" w:color="D9D9D9"/>
              <w:bottom w:val="single" w:sz="4" w:color="D9D9D9"/>
              <w:right w:val="single" w:sz="4" w:color="D9D9D9"/>
            </w:tcBorders>
          </w:tcPr>
          <w:p>
            <w:pPr>
              <w:spacing w:after="120" w:before="120"/>
            </w:pPr>
            <w:r>
              <w:rPr>
                <w:b w:val="0"/>
                <w:sz w:val="20"/>
              </w:rPr>
              <w:br/>
            </w:r>
          </w:p>
        </w:tc>
        <w:tc>
          <w:tcPr>
            <w:tcW w:type="dxa" w:w="3024"/>
            <w:tcBorders>
              <w:top w:val="single" w:sz="4" w:color="D9D9D9"/>
              <w:left w:val="single" w:sz="4" w:color="D9D9D9"/>
              <w:bottom w:val="single" w:sz="4" w:color="D9D9D9"/>
              <w:right w:val="single" w:sz="4" w:color="D9D9D9"/>
            </w:tcBorders>
          </w:tcPr>
          <w:p>
            <w:pPr>
              <w:spacing w:after="120" w:before="120"/>
            </w:pPr>
            <w:r>
              <w:rPr>
                <w:b w:val="0"/>
                <w:sz w:val="20"/>
              </w:rPr>
            </w:r>
          </w:p>
        </w:tc>
        <w:tc>
          <w:tcPr>
            <w:tcW w:type="dxa" w:w="2016"/>
            <w:tcBorders>
              <w:top w:val="single" w:sz="4" w:color="D9D9D9"/>
              <w:left w:val="single" w:sz="4" w:color="D9D9D9"/>
              <w:bottom w:val="single" w:sz="4" w:color="D9D9D9"/>
              <w:right w:val="single" w:sz="4" w:color="D9D9D9"/>
            </w:tcBorders>
          </w:tcPr>
          <w:p>
            <w:pPr>
              <w:spacing w:after="120" w:before="120"/>
            </w:pPr>
            <w:r>
              <w:rPr>
                <w:b w:val="0"/>
                <w:sz w:val="20"/>
              </w:rPr>
            </w:r>
          </w:p>
        </w:tc>
      </w:tr>
    </w:tbl>
    <w:p/>
    <w:p>
      <w:r>
        <w:t>Sensitive information: describe categories only. Do not put customer records, passwords, tokens, keys or recovery codes in this worksheet.</w:t>
      </w:r>
    </w:p>
    <w:p>
      <w:pPr>
        <w:pStyle w:val="Heading1"/>
      </w:pPr>
      <w:r>
        <w:t>Set recovery expectations</w:t>
      </w:r>
    </w:p>
    <w:p>
      <w:r>
        <w:t>Lost work target: the maximum age of recovered data you can tolerate. Downtime target: the longest acceptable interruption before the essential work resumes. These targets are separate; tests show whether your current approach can meet them.</w:t>
      </w:r>
    </w:p>
    <w:p>
      <w:r>
        <w:t>Keep the completed plan restricted to authorized people. Make a secure copy available if your normal device or account is unavailable.</w:t>
      </w:r>
    </w:p>
    <w:p>
      <w:r>
        <w:br w:type="page"/>
      </w:r>
    </w:p>
    <w:p>
      <w:pPr>
        <w:pStyle w:val="Heading1"/>
      </w:pPr>
      <w:r>
        <w:t>2  Plan the backups</w:t>
      </w:r>
    </w:p>
    <w:p>
      <w:r>
        <w:rPr>
          <w:b/>
        </w:rPr>
        <w:t>Data or system name and business owner</w:t>
      </w:r>
    </w:p>
    <w:p>
      <w:r>
        <w:t>________________________________________________________________________________</w:t>
      </w:r>
    </w:p>
    <w:p>
      <w:r>
        <w:rPr>
          <w:b/>
        </w:rPr>
        <w:t>Included folders records and settings plus anything excluded</w:t>
      </w:r>
    </w:p>
    <w:p>
      <w:r>
        <w:t>________________________________________________________________________________</w:t>
      </w:r>
    </w:p>
    <w:p>
      <w:r>
        <w:t>________________________________________________________________________________</w:t>
      </w:r>
    </w:p>
    <w:p>
      <w:r>
        <w:rPr>
          <w:b/>
        </w:rPr>
        <w:t>Acceptable lost work in minutes or hours and business reason</w:t>
      </w:r>
    </w:p>
    <w:p>
      <w:r>
        <w:t>________________________________________________________________________________</w:t>
      </w:r>
    </w:p>
    <w:p>
      <w:r>
        <w:rPr>
          <w:b/>
        </w:rPr>
        <w:t>Acceptable downtime in minutes or hours and business reason</w:t>
      </w:r>
    </w:p>
    <w:p>
      <w:r>
        <w:t>________________________________________________________________________________</w:t>
      </w:r>
    </w:p>
    <w:p>
      <w:r>
        <w:rPr>
          <w:b/>
        </w:rPr>
        <w:t>Backup tool or method and format</w:t>
      </w:r>
    </w:p>
    <w:p>
      <w:r>
        <w:t>________________________________________________________________________________</w:t>
      </w:r>
    </w:p>
    <w:p>
      <w:r>
        <w:rPr>
          <w:b/>
        </w:rPr>
        <w:t>Backup frequency and who checks success or failure alerts</w:t>
      </w:r>
    </w:p>
    <w:p>
      <w:r>
        <w:t>________________________________________________________________________________</w:t>
      </w:r>
    </w:p>
    <w:p>
      <w:r>
        <w:rPr>
          <w:b/>
        </w:rPr>
        <w:t>Retention period and how long older versions remain available</w:t>
      </w:r>
    </w:p>
    <w:p>
      <w:r>
        <w:t>________________________________________________________________________________</w:t>
      </w:r>
    </w:p>
    <w:p>
      <w:r>
        <w:rPr>
          <w:b/>
        </w:rPr>
        <w:t>Local copy location and protection</w:t>
      </w:r>
    </w:p>
    <w:p>
      <w:r>
        <w:t>________________________________________________________________________________</w:t>
      </w:r>
    </w:p>
    <w:p>
      <w:r>
        <w:rPr>
          <w:b/>
        </w:rPr>
        <w:t>Offsite copy location and protection</w:t>
      </w:r>
    </w:p>
    <w:p>
      <w:r>
        <w:t>________________________________________________________________________________</w:t>
      </w:r>
    </w:p>
    <w:p>
      <w:r>
        <w:rPr>
          <w:b/>
        </w:rPr>
        <w:t>Offline copy method and disconnect or rotation schedule</w:t>
      </w:r>
    </w:p>
    <w:p>
      <w:r>
        <w:t>________________________________________________________________________________</w:t>
      </w:r>
    </w:p>
    <w:p>
      <w:r>
        <w:t>Local is nearby; offsite is elsewhere; offline is disconnected. Record any gap. Encrypt sensitive backups and protect access. Match frequency and retention to your work, risks and any applicable recordkeeping requirements.</w:t>
      </w:r>
    </w:p>
    <w:p>
      <w:r>
        <w:br w:type="page"/>
      </w:r>
    </w:p>
    <w:p>
      <w:pPr>
        <w:pStyle w:val="Heading1"/>
      </w:pPr>
      <w:r>
        <w:t>3  Write the recovery steps</w:t>
      </w:r>
    </w:p>
    <w:p>
      <w:r>
        <w:rPr>
          <w:b/>
        </w:rPr>
        <w:t>Data or system name and restore priority</w:t>
      </w:r>
    </w:p>
    <w:p>
      <w:r>
        <w:t>________________________________________________________________________________</w:t>
      </w:r>
    </w:p>
    <w:p>
      <w:r>
        <w:rPr>
          <w:b/>
        </w:rPr>
        <w:t>Responsible person backup person and support contact</w:t>
      </w:r>
    </w:p>
    <w:p>
      <w:r>
        <w:t>________________________________________________________________________________</w:t>
      </w:r>
    </w:p>
    <w:p>
      <w:r>
        <w:rPr>
          <w:b/>
        </w:rPr>
        <w:t>Required device software versions licenses storage and network</w:t>
      </w:r>
    </w:p>
    <w:p>
      <w:r>
        <w:t>________________________________________________________________________________</w:t>
      </w:r>
    </w:p>
    <w:p>
      <w:r>
        <w:t>________________________________________________________________________________</w:t>
      </w:r>
    </w:p>
    <w:p>
      <w:r>
        <w:rPr>
          <w:b/>
        </w:rPr>
        <w:t>Secure separate access instructions location and authorized custodian</w:t>
      </w:r>
    </w:p>
    <w:p>
      <w:r>
        <w:t>________________________________________________________________________________</w:t>
      </w:r>
    </w:p>
    <w:p>
      <w:r>
        <w:t>Record where approved access instructions are held and who can use them if the usual account or device is unavailable. Never write passwords, tokens, encryption keys or recovery codes here. Keep those in approved secure storage, separate from this plan.</w:t>
      </w:r>
    </w:p>
    <w:p>
      <w:r>
        <w:rPr>
          <w:b/>
        </w:rPr>
        <w:t>Step 1  Confirm the incident and choose a known usable backup</w:t>
      </w:r>
    </w:p>
    <w:p>
      <w:r>
        <w:t>________________________________________________________________________________</w:t>
      </w:r>
    </w:p>
    <w:p>
      <w:r>
        <w:rPr>
          <w:b/>
        </w:rPr>
        <w:t>Step 2  Prepare a clean authorized recovery destination</w:t>
      </w:r>
    </w:p>
    <w:p>
      <w:r>
        <w:t>________________________________________________________________________________</w:t>
      </w:r>
    </w:p>
    <w:p>
      <w:r>
        <w:rPr>
          <w:b/>
        </w:rPr>
        <w:t>Step 3  Retrieve the backup and follow the product restore procedure</w:t>
      </w:r>
    </w:p>
    <w:p>
      <w:r>
        <w:t>________________________________________________________________________________</w:t>
      </w:r>
    </w:p>
    <w:p>
      <w:r>
        <w:rPr>
          <w:b/>
        </w:rPr>
        <w:t>Step 4  Check records and essential workflows with the business owner</w:t>
      </w:r>
    </w:p>
    <w:p>
      <w:r>
        <w:t>________________________________________________________________________________</w:t>
      </w:r>
    </w:p>
    <w:p>
      <w:r>
        <w:rPr>
          <w:b/>
        </w:rPr>
        <w:t>Step 5  Record who approves return to service and how to switch safely</w:t>
      </w:r>
    </w:p>
    <w:p>
      <w:r>
        <w:t>________________________________________________________________________________</w:t>
      </w:r>
    </w:p>
    <w:p>
      <w:r>
        <w:t>If compromise is suspected, involve qualified support before reconnecting systems or restoring. Preserve evidence and avoid bringing infected data or systems back into service.</w:t>
      </w:r>
    </w:p>
    <w:p>
      <w:r>
        <w:br w:type="page"/>
      </w:r>
    </w:p>
    <w:p>
      <w:pPr>
        <w:pStyle w:val="Heading1"/>
      </w:pPr>
      <w:r>
        <w:t>4  Test and record the results</w:t>
      </w:r>
    </w:p>
    <w:p>
      <w:r>
        <w:t>Restore to an isolated, safe test location. Never overwrite production data. Restrict access to sensitive records, disable live integrations and notifications, and securely remove temporary test copies when approved. A small test does not validate full business recovery.</w:t>
      </w:r>
    </w:p>
    <w:p>
      <w:r>
        <w:rPr>
          <w:b/>
        </w:rPr>
        <w:t>System test owner and test date</w:t>
      </w:r>
    </w:p>
    <w:p>
      <w:r>
        <w:t>________________________________________________________________________________</w:t>
      </w:r>
    </w:p>
    <w:p>
      <w:r>
        <w:rPr>
          <w:b/>
        </w:rPr>
        <w:t>Scenario scope sample records and isolated destination</w:t>
      </w:r>
    </w:p>
    <w:p>
      <w:r>
        <w:t>________________________________________________________________________________</w:t>
      </w:r>
    </w:p>
    <w:p>
      <w:r>
        <w:rPr>
          <w:b/>
        </w:rPr>
        <w:t>Simulated loss time and restored backup timestamp including time zone</w:t>
      </w:r>
    </w:p>
    <w:p>
      <w:r>
        <w:t>________________________________________________________________________________</w:t>
      </w:r>
    </w:p>
    <w:p>
      <w:r>
        <w:rPr>
          <w:b/>
        </w:rPr>
        <w:t>Measured age of recovered data versus acceptable lost work target</w:t>
      </w:r>
    </w:p>
    <w:p>
      <w:r>
        <w:t>________________________________________________________________________________</w:t>
      </w:r>
    </w:p>
    <w:p>
      <w:r>
        <w:rPr>
          <w:b/>
        </w:rPr>
        <w:t>Start time end time and total recovery time including validation</w:t>
      </w:r>
    </w:p>
    <w:p>
      <w:r>
        <w:t>________________________________________________________________________________</w:t>
      </w:r>
    </w:p>
    <w:p>
      <w:r>
        <w:rPr>
          <w:b/>
        </w:rPr>
        <w:t>Downtime target and whether the measured test met it</w:t>
      </w:r>
    </w:p>
    <w:p>
      <w:r>
        <w:t>________________________________________________________________________________</w:t>
      </w:r>
    </w:p>
    <w:p>
      <w:r>
        <w:rPr>
          <w:b/>
        </w:rPr>
        <w:t>Checks performed completeness readability and essential workflows</w:t>
      </w:r>
    </w:p>
    <w:p>
      <w:r>
        <w:t>________________________________________________________________________________</w:t>
      </w:r>
    </w:p>
    <w:p>
      <w:r>
        <w:t>________________________________________________________________________________</w:t>
      </w:r>
    </w:p>
    <w:p>
      <w:r>
        <w:rPr>
          <w:b/>
        </w:rPr>
        <w:t>Pass fail or limited result and what was not tested</w:t>
      </w:r>
    </w:p>
    <w:p>
      <w:r>
        <w:t>________________________________________________________________________________</w:t>
      </w:r>
    </w:p>
    <w:p>
      <w:r>
        <w:rPr>
          <w:b/>
        </w:rPr>
        <w:t>Problems corrective action owner and due date</w:t>
      </w:r>
    </w:p>
    <w:p>
      <w:r>
        <w:t>________________________________________________________________________________</w:t>
      </w:r>
    </w:p>
    <w:p>
      <w:r>
        <w:rPr>
          <w:b/>
        </w:rPr>
        <w:t>Next test date and triggers for earlier retesting</w:t>
      </w:r>
    </w:p>
    <w:p>
      <w:r>
        <w:t>________________________________________________________________________________</w:t>
      </w:r>
    </w:p>
    <w:p>
      <w:r>
        <w:t>Retest after important changes to data, software, access or the backup method. Record observed results honestly; a successful test is not a recovery guarantee.</w:t>
      </w:r>
    </w:p>
    <w:p>
      <w:r>
        <w:br w:type="page"/>
      </w:r>
    </w:p>
    <w:p>
      <w:pPr>
        <w:pStyle w:val="Heading1"/>
      </w:pPr>
      <w:r>
        <w:t>Fictional filled example</w:t>
      </w:r>
    </w:p>
    <w:p>
      <w:r>
        <w:t>Maple Lane Design is an invented two-person business. All people, systems, dates and results below are illustrative. This example covers project files only, not the entire business.</w:t>
      </w:r>
    </w:p>
    <w:p>
      <w:pPr>
        <w:pStyle w:val="Heading2"/>
      </w:pPr>
      <w:r>
        <w:t>Data and targets</w:t>
      </w:r>
    </w:p>
    <w:p>
      <w:r>
        <w:t>Project folder on the studio workstation; owner and recovery lead: Alex, studio owner. Backup person: Jo, studio manager. Priority 1. Acceptable lost work: 24 hours. Acceptable downtime: four hours.</w:t>
      </w:r>
    </w:p>
    <w:p>
      <w:pPr>
        <w:pStyle w:val="Heading2"/>
      </w:pPr>
      <w:r>
        <w:t>Backup arrangement</w:t>
      </w:r>
    </w:p>
    <w:p>
      <w:r>
        <w:t>Nightly encrypted, versioned backup to an offsite service with 90-day retention. Each Friday, copy to an encrypted rotating drive, disconnect it and store it at a separate secure location. Keep eight weekly copies. Alex checks daily completion and failure alerts. A cloud account outage could require using the older offline copy and exceed the lost-work target.</w:t>
      </w:r>
    </w:p>
    <w:p>
      <w:pPr>
        <w:pStyle w:val="Heading2"/>
      </w:pPr>
      <w:r>
        <w:t>Access and prerequisites</w:t>
      </w:r>
    </w:p>
    <w:p>
      <w:r>
        <w:t>Use a clean spare laptop with the licensed design software, matching fonts and enough storage. Jo holds the support contact in the restricted contact directory. Authorized staff retrieve credentials and drive recovery information through the separate approved vault and its emergency-access procedure; no secrets are stored in this plan.</w:t>
      </w:r>
    </w:p>
    <w:p>
      <w:pPr>
        <w:pStyle w:val="Heading2"/>
      </w:pPr>
      <w:r>
        <w:t>Restore procedure</w:t>
      </w:r>
    </w:p>
    <w:p>
      <w:r>
        <w:t>Confirm scope with Alex; select the last known usable backup; prepare an isolated test folder on the spare laptop; restore a sample project using the backup tool; open the design and linked assets; compare record counts and recent changes. Alex approves any real return to service after support confirms it is safe.</w:t>
      </w:r>
    </w:p>
    <w:p>
      <w:pPr>
        <w:pStyle w:val="Heading2"/>
      </w:pPr>
      <w:r>
        <w:t>Measured test result</w:t>
      </w:r>
    </w:p>
    <w:p>
      <w:r>
        <w:t>Test: 12 October 2026. Simulated loss: 10 a.m.; selected backup: 11 p.m. the prior day, both local time. Recovered data was 11 hours old, within the 24-hour target. Restore and validation ran 10–10:42 a.m., 42 minutes, within the four-hour target for this sample only. Three project folders opened; a missing font required installation. Full recovery and offline fallback were not tested.</w:t>
      </w:r>
    </w:p>
    <w:p>
      <w:pPr>
        <w:pStyle w:val="Heading2"/>
      </w:pPr>
      <w:r>
        <w:t>Follow through</w:t>
      </w:r>
    </w:p>
    <w:p>
      <w:r>
        <w:t>Jo will add the font prerequisite by 16 October. Next test: 12 November 2026, including the offline copy and a larger project set. Securely remove test copies after review. The test does not prove the whole business can recover within four hours.</w:t>
      </w:r>
    </w:p>
    <w:p>
      <w:pPr>
        <w:pStyle w:val="Heading1"/>
      </w:pPr>
      <w:r>
        <w:t>Sources</w:t>
      </w:r>
    </w:p>
    <w:p>
      <w:pPr>
        <w:spacing w:after="80"/>
      </w:pPr>
      <w:r>
        <w:rPr>
          <w:sz w:val="16"/>
        </w:rPr>
        <w:t>1. CISA StopRansomware Guide</w:t>
        <w:br/>
        <w:t>https://www.cisa.gov/stopransomware/ransomware-guide</w:t>
      </w:r>
    </w:p>
    <w:p>
      <w:pPr>
        <w:spacing w:after="80"/>
      </w:pPr>
      <w:r>
        <w:rPr>
          <w:sz w:val="16"/>
        </w:rPr>
        <w:t>2. CISA Protect data stored on your devices</w:t>
        <w:br/>
        <w:t>https://www.cisa.gov/resources-tools/training/how-protect-data-stored-your-devices</w:t>
      </w:r>
    </w:p>
    <w:p>
      <w:pPr>
        <w:spacing w:after="80"/>
      </w:pPr>
      <w:r>
        <w:rPr>
          <w:sz w:val="16"/>
        </w:rPr>
        <w:t>3. NIST Recovery Point Objective</w:t>
        <w:br/>
        <w:t>https://csrc.nist.gov/glossary/term/recovery_point_objective</w:t>
      </w:r>
    </w:p>
    <w:p>
      <w:pPr>
        <w:spacing w:after="80"/>
      </w:pPr>
      <w:r>
        <w:rPr>
          <w:sz w:val="16"/>
        </w:rPr>
        <w:t>4. NIST Recovery Time Objective</w:t>
        <w:br/>
        <w:t>https://csrc.nist.gov/glossary/term/recovery_time_objective</w:t>
      </w:r>
    </w:p>
    <w:p>
      <w:pPr>
        <w:spacing w:after="80"/>
      </w:pPr>
      <w:r>
        <w:rPr>
          <w:sz w:val="16"/>
        </w:rPr>
        <w:t>5. NIST Small Business Information Security</w:t>
        <w:br/>
        <w:t>https://nvlpubs.nist.gov/nistpubs/ir/2016/nist.ir.7621r1.pdf</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C2E Studio  •  Backup and recovery planning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C2E STUDIO  /  FREE WORKSHEET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0"/>
      <w:outlineLvl w:val="0"/>
    </w:pPr>
    <w:rPr>
      <w:rFonts w:asciiTheme="majorHAnsi" w:eastAsiaTheme="majorEastAsia" w:hAnsiTheme="majorHAnsi" w:cstheme="majorBidi" w:ascii="Calibri" w:hAnsi="Calibr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